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098"/>
        <w:gridCol w:w="1368"/>
        <w:gridCol w:w="2218"/>
        <w:gridCol w:w="3013"/>
      </w:tblGrid>
      <w:tr w:rsidR="00DF409C" w:rsidRPr="00DF409C" w:rsidTr="00DF409C">
        <w:trPr>
          <w:trHeight w:val="690"/>
        </w:trPr>
        <w:tc>
          <w:tcPr>
            <w:tcW w:w="11115" w:type="dxa"/>
            <w:gridSpan w:val="4"/>
            <w:noWrap/>
            <w:hideMark/>
          </w:tcPr>
          <w:p w:rsidR="00DF409C" w:rsidRPr="00DF409C" w:rsidRDefault="00DF409C" w:rsidP="00DF409C">
            <w:pPr>
              <w:jc w:val="center"/>
              <w:rPr>
                <w:b/>
                <w:bCs/>
              </w:rPr>
            </w:pPr>
            <w:r w:rsidRPr="00DF409C">
              <w:rPr>
                <w:b/>
                <w:bCs/>
                <w:sz w:val="48"/>
              </w:rPr>
              <w:t>OPERATIVNI PLAN 2024.</w:t>
            </w:r>
          </w:p>
        </w:tc>
      </w:tr>
      <w:tr w:rsidR="00DF409C" w:rsidRPr="00DF409C" w:rsidTr="00DF409C">
        <w:trPr>
          <w:trHeight w:val="492"/>
        </w:trPr>
        <w:tc>
          <w:tcPr>
            <w:tcW w:w="5098" w:type="dxa"/>
            <w:noWrap/>
            <w:hideMark/>
          </w:tcPr>
          <w:p w:rsidR="00DF409C" w:rsidRPr="00DF409C" w:rsidRDefault="00DF409C" w:rsidP="00DF409C">
            <w:pPr>
              <w:rPr>
                <w:b/>
                <w:bCs/>
              </w:rPr>
            </w:pPr>
            <w:r w:rsidRPr="00DF409C">
              <w:rPr>
                <w:b/>
                <w:bCs/>
                <w:sz w:val="36"/>
              </w:rPr>
              <w:t>AKTIVNOSTI</w:t>
            </w:r>
          </w:p>
        </w:tc>
        <w:tc>
          <w:tcPr>
            <w:tcW w:w="786" w:type="dxa"/>
            <w:noWrap/>
            <w:hideMark/>
          </w:tcPr>
          <w:p w:rsidR="00DF409C" w:rsidRPr="00DF409C" w:rsidRDefault="00DF409C" w:rsidP="00DF409C">
            <w:pPr>
              <w:rPr>
                <w:b/>
                <w:bCs/>
                <w:sz w:val="28"/>
              </w:rPr>
            </w:pPr>
            <w:r w:rsidRPr="00DF409C">
              <w:rPr>
                <w:b/>
                <w:bCs/>
                <w:sz w:val="28"/>
              </w:rPr>
              <w:t>ROKOVI</w:t>
            </w:r>
          </w:p>
        </w:tc>
        <w:tc>
          <w:tcPr>
            <w:tcW w:w="2218" w:type="dxa"/>
            <w:noWrap/>
            <w:hideMark/>
          </w:tcPr>
          <w:p w:rsidR="00DF409C" w:rsidRPr="00DF409C" w:rsidRDefault="00DF409C" w:rsidP="00DF409C">
            <w:pPr>
              <w:rPr>
                <w:b/>
                <w:bCs/>
                <w:sz w:val="28"/>
              </w:rPr>
            </w:pPr>
            <w:r w:rsidRPr="00DF409C">
              <w:rPr>
                <w:b/>
                <w:bCs/>
                <w:sz w:val="28"/>
              </w:rPr>
              <w:t>STRATEGIJE DJELOVANJA</w:t>
            </w:r>
          </w:p>
        </w:tc>
        <w:tc>
          <w:tcPr>
            <w:tcW w:w="3010" w:type="dxa"/>
            <w:noWrap/>
            <w:hideMark/>
          </w:tcPr>
          <w:p w:rsidR="00DF409C" w:rsidRPr="00DF409C" w:rsidRDefault="00DF409C" w:rsidP="00DF409C">
            <w:pPr>
              <w:rPr>
                <w:b/>
                <w:bCs/>
                <w:sz w:val="28"/>
              </w:rPr>
            </w:pPr>
            <w:r w:rsidRPr="00DF409C">
              <w:rPr>
                <w:b/>
                <w:bCs/>
                <w:sz w:val="28"/>
              </w:rPr>
              <w:t>UVJETI I KRITERIJI ZA PROVEDBU</w:t>
            </w:r>
          </w:p>
        </w:tc>
      </w:tr>
      <w:tr w:rsidR="00DF409C" w:rsidRPr="00DF409C" w:rsidTr="00DF409C">
        <w:trPr>
          <w:trHeight w:val="623"/>
        </w:trPr>
        <w:tc>
          <w:tcPr>
            <w:tcW w:w="11115" w:type="dxa"/>
            <w:gridSpan w:val="4"/>
            <w:shd w:val="clear" w:color="auto" w:fill="FFD966" w:themeFill="accent4" w:themeFillTint="99"/>
            <w:noWrap/>
            <w:hideMark/>
          </w:tcPr>
          <w:p w:rsidR="00DF409C" w:rsidRPr="00DF409C" w:rsidRDefault="00DF409C">
            <w:pPr>
              <w:rPr>
                <w:b/>
                <w:bCs/>
              </w:rPr>
            </w:pPr>
            <w:r w:rsidRPr="00DF409C">
              <w:rPr>
                <w:b/>
                <w:bCs/>
              </w:rPr>
              <w:t>1. NACIONALNA I MEĐUNARODNA SURADNJA</w:t>
            </w:r>
          </w:p>
        </w:tc>
      </w:tr>
      <w:tr w:rsidR="00DF409C" w:rsidRPr="00DF409C" w:rsidTr="00DF409C">
        <w:trPr>
          <w:trHeight w:val="1238"/>
        </w:trPr>
        <w:tc>
          <w:tcPr>
            <w:tcW w:w="5098" w:type="dxa"/>
            <w:hideMark/>
          </w:tcPr>
          <w:p w:rsidR="00DF409C" w:rsidRPr="00DF409C" w:rsidRDefault="00DF409C" w:rsidP="00DF409C">
            <w:r w:rsidRPr="00DF409C">
              <w:t>1.1. Informiranje i savjetovanje zainteresiranih osoba putem info telefona, web i Facebook stranice te direktnim kontaktom u prostoru Udruge</w:t>
            </w:r>
          </w:p>
        </w:tc>
        <w:tc>
          <w:tcPr>
            <w:tcW w:w="786" w:type="dxa"/>
            <w:noWrap/>
            <w:hideMark/>
          </w:tcPr>
          <w:p w:rsidR="00DF409C" w:rsidRPr="00DF409C" w:rsidRDefault="00DF409C" w:rsidP="00DF409C">
            <w:r w:rsidRPr="00DF409C">
              <w:t>kontinuirano</w:t>
            </w:r>
          </w:p>
        </w:tc>
        <w:tc>
          <w:tcPr>
            <w:tcW w:w="2218" w:type="dxa"/>
            <w:hideMark/>
          </w:tcPr>
          <w:p w:rsidR="00DF409C" w:rsidRPr="00DF409C" w:rsidRDefault="00DF409C" w:rsidP="00DF409C">
            <w:r w:rsidRPr="00DF409C">
              <w:t>Suradnja s građanima, lokalnom zajednicom, srodnim organizacijama</w:t>
            </w:r>
          </w:p>
        </w:tc>
        <w:tc>
          <w:tcPr>
            <w:tcW w:w="3010" w:type="dxa"/>
            <w:hideMark/>
          </w:tcPr>
          <w:p w:rsidR="00DF409C" w:rsidRPr="00DF409C" w:rsidRDefault="00DF409C" w:rsidP="00DF409C">
            <w:r w:rsidRPr="00DF409C">
              <w:t>Detektiranje potreba vezanih za udomiteljstvo</w:t>
            </w:r>
          </w:p>
        </w:tc>
      </w:tr>
      <w:tr w:rsidR="00DF409C" w:rsidRPr="00DF409C" w:rsidTr="00DF409C">
        <w:trPr>
          <w:trHeight w:val="2258"/>
        </w:trPr>
        <w:tc>
          <w:tcPr>
            <w:tcW w:w="5098" w:type="dxa"/>
            <w:hideMark/>
          </w:tcPr>
          <w:p w:rsidR="00DF409C" w:rsidRPr="00DF409C" w:rsidRDefault="00DF409C" w:rsidP="00DF409C">
            <w:r w:rsidRPr="00DF409C">
              <w:t>1.2. Pokretanje građanskih inicijativa s ciljem unapređenja kvalitete života građana grada Zagreba i okolice</w:t>
            </w:r>
          </w:p>
        </w:tc>
        <w:tc>
          <w:tcPr>
            <w:tcW w:w="786" w:type="dxa"/>
            <w:noWrap/>
            <w:hideMark/>
          </w:tcPr>
          <w:p w:rsidR="00DF409C" w:rsidRPr="00DF409C" w:rsidRDefault="00DF409C" w:rsidP="00DF409C">
            <w:r w:rsidRPr="00DF409C">
              <w:t>kontinuirano</w:t>
            </w:r>
          </w:p>
        </w:tc>
        <w:tc>
          <w:tcPr>
            <w:tcW w:w="2218" w:type="dxa"/>
            <w:hideMark/>
          </w:tcPr>
          <w:p w:rsidR="00DF409C" w:rsidRPr="00DF409C" w:rsidRDefault="00DF409C" w:rsidP="00DF409C">
            <w:r w:rsidRPr="00DF409C">
              <w:t>Suradnja s Gradom Zagrebom te ostalim institucijama, ustanovama i organizacijama koje djeluju na području grada Zagreba i okolice (CZSS , dječji vrtići, knjižnice, OŠ i SŠ, kazališta, koncertne dvorane)</w:t>
            </w:r>
          </w:p>
        </w:tc>
        <w:tc>
          <w:tcPr>
            <w:tcW w:w="3010" w:type="dxa"/>
            <w:hideMark/>
          </w:tcPr>
          <w:p w:rsidR="00DF409C" w:rsidRPr="00DF409C" w:rsidRDefault="00DF409C" w:rsidP="00DF409C">
            <w:r w:rsidRPr="00DF409C">
              <w:t>Detektiranje potreba vezanih za udomiteljstvo</w:t>
            </w:r>
          </w:p>
        </w:tc>
      </w:tr>
      <w:tr w:rsidR="00DF409C" w:rsidRPr="00DF409C" w:rsidTr="00DF409C">
        <w:trPr>
          <w:trHeight w:val="1118"/>
        </w:trPr>
        <w:tc>
          <w:tcPr>
            <w:tcW w:w="5098" w:type="dxa"/>
            <w:noWrap/>
            <w:hideMark/>
          </w:tcPr>
          <w:p w:rsidR="00DF409C" w:rsidRPr="00DF409C" w:rsidRDefault="00DF409C" w:rsidP="00DF409C">
            <w:r w:rsidRPr="00DF409C">
              <w:t>1.3. Sudjelovanje u volonterskim akcijama</w:t>
            </w:r>
          </w:p>
        </w:tc>
        <w:tc>
          <w:tcPr>
            <w:tcW w:w="786" w:type="dxa"/>
            <w:noWrap/>
            <w:hideMark/>
          </w:tcPr>
          <w:p w:rsidR="00DF409C" w:rsidRPr="00DF409C" w:rsidRDefault="00DF409C" w:rsidP="00DF409C">
            <w:r w:rsidRPr="00DF409C">
              <w:t>kontinuirano</w:t>
            </w:r>
          </w:p>
        </w:tc>
        <w:tc>
          <w:tcPr>
            <w:tcW w:w="2218" w:type="dxa"/>
            <w:hideMark/>
          </w:tcPr>
          <w:p w:rsidR="00DF409C" w:rsidRPr="00DF409C" w:rsidRDefault="00DF409C" w:rsidP="00DF409C">
            <w:r w:rsidRPr="00DF409C">
              <w:t>Suradnja s Gradom Zagrebom i ostalim institucijama (volonterski centri, OŠ i SŠ, domovima za starije, bolnicama, građanima</w:t>
            </w:r>
          </w:p>
        </w:tc>
        <w:tc>
          <w:tcPr>
            <w:tcW w:w="3010" w:type="dxa"/>
            <w:hideMark/>
          </w:tcPr>
          <w:p w:rsidR="00DF409C" w:rsidRPr="00DF409C" w:rsidRDefault="00DF409C" w:rsidP="00DF409C">
            <w:r w:rsidRPr="00DF409C">
              <w:t>Detektiranje potreba grada Zagreba i ostalih institucija</w:t>
            </w:r>
          </w:p>
        </w:tc>
      </w:tr>
      <w:tr w:rsidR="00DF409C" w:rsidRPr="00DF409C" w:rsidTr="00DF409C">
        <w:trPr>
          <w:trHeight w:val="900"/>
        </w:trPr>
        <w:tc>
          <w:tcPr>
            <w:tcW w:w="5098" w:type="dxa"/>
            <w:noWrap/>
            <w:hideMark/>
          </w:tcPr>
          <w:p w:rsidR="00DF409C" w:rsidRPr="00DF409C" w:rsidRDefault="00DF409C" w:rsidP="00DF409C">
            <w:r w:rsidRPr="00DF409C">
              <w:t>1.4. Suradnja i partnerstva kroz prijavu na natječaje</w:t>
            </w:r>
          </w:p>
        </w:tc>
        <w:tc>
          <w:tcPr>
            <w:tcW w:w="786" w:type="dxa"/>
            <w:noWrap/>
            <w:hideMark/>
          </w:tcPr>
          <w:p w:rsidR="00DF409C" w:rsidRPr="00DF409C" w:rsidRDefault="00DF409C" w:rsidP="00DF409C">
            <w:r w:rsidRPr="00DF409C">
              <w:t>kontinuirano</w:t>
            </w:r>
          </w:p>
        </w:tc>
        <w:tc>
          <w:tcPr>
            <w:tcW w:w="2218" w:type="dxa"/>
            <w:hideMark/>
          </w:tcPr>
          <w:p w:rsidR="00DF409C" w:rsidRPr="00DF409C" w:rsidRDefault="00DF409C" w:rsidP="00DF409C">
            <w:r w:rsidRPr="00DF409C">
              <w:t>Povezivanje na nacionalnoj i međunarodnoj razini</w:t>
            </w:r>
          </w:p>
        </w:tc>
        <w:tc>
          <w:tcPr>
            <w:tcW w:w="3010" w:type="dxa"/>
            <w:hideMark/>
          </w:tcPr>
          <w:p w:rsidR="00DF409C" w:rsidRPr="00DF409C" w:rsidRDefault="00DF409C" w:rsidP="00DF409C">
            <w:r w:rsidRPr="00DF409C">
              <w:t>Jačanje vlastitih kapaciteta, razmjena znanja i primjera dobre prakse</w:t>
            </w:r>
          </w:p>
        </w:tc>
      </w:tr>
      <w:tr w:rsidR="00DF409C" w:rsidRPr="00DF409C" w:rsidTr="00DF409C">
        <w:trPr>
          <w:trHeight w:val="675"/>
        </w:trPr>
        <w:tc>
          <w:tcPr>
            <w:tcW w:w="11115" w:type="dxa"/>
            <w:gridSpan w:val="4"/>
            <w:noWrap/>
            <w:hideMark/>
          </w:tcPr>
          <w:p w:rsidR="00DF409C" w:rsidRPr="00DF409C" w:rsidRDefault="00DF409C">
            <w:pPr>
              <w:rPr>
                <w:b/>
                <w:bCs/>
              </w:rPr>
            </w:pPr>
            <w:r w:rsidRPr="00DF409C">
              <w:rPr>
                <w:b/>
                <w:bCs/>
              </w:rPr>
              <w:lastRenderedPageBreak/>
              <w:t>2</w:t>
            </w:r>
            <w:r w:rsidRPr="00DF409C">
              <w:rPr>
                <w:b/>
                <w:bCs/>
                <w:shd w:val="clear" w:color="auto" w:fill="FFD966" w:themeFill="accent4" w:themeFillTint="99"/>
              </w:rPr>
              <w:t>.  PROJEKATI I PROGRAMI</w:t>
            </w:r>
          </w:p>
        </w:tc>
      </w:tr>
      <w:tr w:rsidR="00DF409C" w:rsidRPr="00DF409C" w:rsidTr="00DF409C">
        <w:trPr>
          <w:trHeight w:val="818"/>
        </w:trPr>
        <w:tc>
          <w:tcPr>
            <w:tcW w:w="5098" w:type="dxa"/>
            <w:noWrap/>
            <w:hideMark/>
          </w:tcPr>
          <w:p w:rsidR="00DF409C" w:rsidRPr="00DF409C" w:rsidRDefault="00DF409C" w:rsidP="00DF409C">
            <w:r w:rsidRPr="00DF409C">
              <w:t>2.1. Prijava projekata na natječaj TDU</w:t>
            </w:r>
          </w:p>
        </w:tc>
        <w:tc>
          <w:tcPr>
            <w:tcW w:w="786" w:type="dxa"/>
            <w:noWrap/>
            <w:hideMark/>
          </w:tcPr>
          <w:p w:rsidR="00DF409C" w:rsidRPr="00DF409C" w:rsidRDefault="00DF409C" w:rsidP="00DF409C">
            <w:r w:rsidRPr="00DF409C">
              <w:t>kontinuirano</w:t>
            </w:r>
          </w:p>
        </w:tc>
        <w:tc>
          <w:tcPr>
            <w:tcW w:w="2218" w:type="dxa"/>
            <w:hideMark/>
          </w:tcPr>
          <w:p w:rsidR="00DF409C" w:rsidRPr="00DF409C" w:rsidRDefault="00DF409C" w:rsidP="00DF409C">
            <w:r w:rsidRPr="00DF409C">
              <w:t xml:space="preserve">Prema financijskom planu i rezultatima natječaja </w:t>
            </w:r>
          </w:p>
        </w:tc>
        <w:tc>
          <w:tcPr>
            <w:tcW w:w="3010" w:type="dxa"/>
            <w:hideMark/>
          </w:tcPr>
          <w:p w:rsidR="00DF409C" w:rsidRPr="00DF409C" w:rsidRDefault="00DF409C" w:rsidP="00DF409C">
            <w:r w:rsidRPr="00DF409C">
              <w:t>Jačanje vlastitih kapaciteta, promoviranje udomiteljstva, osnaživanje djece bez odgovarajuće roditeljske skrbi</w:t>
            </w:r>
          </w:p>
        </w:tc>
      </w:tr>
      <w:tr w:rsidR="00DF409C" w:rsidRPr="00DF409C" w:rsidTr="00DF409C">
        <w:trPr>
          <w:trHeight w:val="945"/>
        </w:trPr>
        <w:tc>
          <w:tcPr>
            <w:tcW w:w="5098" w:type="dxa"/>
            <w:hideMark/>
          </w:tcPr>
          <w:p w:rsidR="00DF409C" w:rsidRPr="00DF409C" w:rsidRDefault="00DF409C" w:rsidP="00DF409C">
            <w:r w:rsidRPr="00DF409C">
              <w:t>2.2. Prijava projekata na natječaj Grada Zagreba, Županije, Zaklada i sl.</w:t>
            </w:r>
          </w:p>
        </w:tc>
        <w:tc>
          <w:tcPr>
            <w:tcW w:w="786" w:type="dxa"/>
            <w:noWrap/>
            <w:hideMark/>
          </w:tcPr>
          <w:p w:rsidR="00DF409C" w:rsidRPr="00DF409C" w:rsidRDefault="00DF409C" w:rsidP="00DF409C">
            <w:r w:rsidRPr="00DF409C">
              <w:t>kontinuirano</w:t>
            </w:r>
          </w:p>
        </w:tc>
        <w:tc>
          <w:tcPr>
            <w:tcW w:w="2218" w:type="dxa"/>
            <w:hideMark/>
          </w:tcPr>
          <w:p w:rsidR="00DF409C" w:rsidRPr="00DF409C" w:rsidRDefault="00DF409C" w:rsidP="00DF409C">
            <w:r w:rsidRPr="00DF409C">
              <w:t xml:space="preserve">Prema financijskom planu i rezultatima natječaja </w:t>
            </w:r>
          </w:p>
        </w:tc>
        <w:tc>
          <w:tcPr>
            <w:tcW w:w="3010" w:type="dxa"/>
            <w:hideMark/>
          </w:tcPr>
          <w:p w:rsidR="00DF409C" w:rsidRPr="00DF409C" w:rsidRDefault="00DF409C" w:rsidP="00DF409C">
            <w:r w:rsidRPr="00DF409C">
              <w:t>Jačanje vlastitih kapaciteta, promoviranje udomiteljstva, osnaživanje djece bez odgovarajuće roditeljske skrbi</w:t>
            </w:r>
          </w:p>
        </w:tc>
      </w:tr>
      <w:tr w:rsidR="00DF409C" w:rsidRPr="00DF409C" w:rsidTr="00DF409C">
        <w:trPr>
          <w:trHeight w:val="638"/>
        </w:trPr>
        <w:tc>
          <w:tcPr>
            <w:tcW w:w="11115" w:type="dxa"/>
            <w:gridSpan w:val="4"/>
            <w:shd w:val="clear" w:color="auto" w:fill="FFD966" w:themeFill="accent4" w:themeFillTint="99"/>
            <w:noWrap/>
            <w:hideMark/>
          </w:tcPr>
          <w:p w:rsidR="00DF409C" w:rsidRPr="00DF409C" w:rsidRDefault="00DF409C">
            <w:pPr>
              <w:rPr>
                <w:b/>
                <w:bCs/>
              </w:rPr>
            </w:pPr>
            <w:r w:rsidRPr="00DF409C">
              <w:rPr>
                <w:b/>
                <w:bCs/>
              </w:rPr>
              <w:t>3. SENZIBILIZIRANJE I PODIZANJE JAVNE SVIJESTI</w:t>
            </w:r>
          </w:p>
        </w:tc>
      </w:tr>
      <w:tr w:rsidR="00DF409C" w:rsidRPr="00DF409C" w:rsidTr="00DF409C">
        <w:trPr>
          <w:trHeight w:val="2145"/>
        </w:trPr>
        <w:tc>
          <w:tcPr>
            <w:tcW w:w="5098" w:type="dxa"/>
            <w:noWrap/>
            <w:hideMark/>
          </w:tcPr>
          <w:p w:rsidR="00DF409C" w:rsidRPr="00DF409C" w:rsidRDefault="00DF409C">
            <w:r w:rsidRPr="00DF409C">
              <w:t>3.1. Zaštita i promicanje prava udomiteljskih obitelji</w:t>
            </w:r>
          </w:p>
        </w:tc>
        <w:tc>
          <w:tcPr>
            <w:tcW w:w="786" w:type="dxa"/>
            <w:noWrap/>
            <w:hideMark/>
          </w:tcPr>
          <w:p w:rsidR="00DF409C" w:rsidRPr="00DF409C" w:rsidRDefault="00DF409C" w:rsidP="00DF409C">
            <w:r w:rsidRPr="00DF409C">
              <w:t>kontinuirano</w:t>
            </w:r>
          </w:p>
        </w:tc>
        <w:tc>
          <w:tcPr>
            <w:tcW w:w="2218" w:type="dxa"/>
            <w:hideMark/>
          </w:tcPr>
          <w:p w:rsidR="00DF409C" w:rsidRPr="00DF409C" w:rsidRDefault="00DF409C" w:rsidP="00DF409C">
            <w:r w:rsidRPr="00DF409C">
              <w:t>Sudjelovanje na tribinama, okruglim stolovima, kampanjama za promociju udomiteljstva, objavljivanje informacija i drugih tekstova na web str. Udruge, Društvenim mrežama</w:t>
            </w:r>
          </w:p>
        </w:tc>
        <w:tc>
          <w:tcPr>
            <w:tcW w:w="3010" w:type="dxa"/>
            <w:hideMark/>
          </w:tcPr>
          <w:p w:rsidR="00DF409C" w:rsidRPr="00DF409C" w:rsidRDefault="00DF409C" w:rsidP="00DF409C">
            <w:r w:rsidRPr="00DF409C">
              <w:t xml:space="preserve">Senzibilizacija javnosti o pravima i potrebama udomiteljskih obitelji te senzibiliziranje javnosti za eventualno </w:t>
            </w:r>
            <w:proofErr w:type="spellStart"/>
            <w:r w:rsidRPr="00DF409C">
              <w:t>bavljanje</w:t>
            </w:r>
            <w:proofErr w:type="spellEnd"/>
            <w:r w:rsidRPr="00DF409C">
              <w:t xml:space="preserve"> </w:t>
            </w:r>
            <w:proofErr w:type="spellStart"/>
            <w:r w:rsidRPr="00DF409C">
              <w:t>udomiteljstvom</w:t>
            </w:r>
            <w:proofErr w:type="spellEnd"/>
          </w:p>
        </w:tc>
      </w:tr>
      <w:tr w:rsidR="00DF409C" w:rsidRPr="00DF409C" w:rsidTr="00DF409C">
        <w:trPr>
          <w:trHeight w:val="945"/>
        </w:trPr>
        <w:tc>
          <w:tcPr>
            <w:tcW w:w="11115" w:type="dxa"/>
            <w:gridSpan w:val="4"/>
            <w:noWrap/>
            <w:hideMark/>
          </w:tcPr>
          <w:p w:rsidR="00DF409C" w:rsidRPr="00DF409C" w:rsidRDefault="00DF409C">
            <w:pPr>
              <w:rPr>
                <w:b/>
                <w:bCs/>
              </w:rPr>
            </w:pPr>
            <w:r w:rsidRPr="00DF409C">
              <w:rPr>
                <w:b/>
                <w:bCs/>
              </w:rPr>
              <w:t>4</w:t>
            </w:r>
            <w:r w:rsidRPr="00DF409C">
              <w:rPr>
                <w:b/>
                <w:bCs/>
                <w:shd w:val="clear" w:color="auto" w:fill="FFD966" w:themeFill="accent4" w:themeFillTint="99"/>
              </w:rPr>
              <w:t>. PRUŽANJE USLUGA NEPOSREDNIM KORISNICIMA</w:t>
            </w:r>
          </w:p>
        </w:tc>
      </w:tr>
      <w:tr w:rsidR="00DF409C" w:rsidRPr="00DF409C" w:rsidTr="00DF409C">
        <w:trPr>
          <w:trHeight w:val="1005"/>
        </w:trPr>
        <w:tc>
          <w:tcPr>
            <w:tcW w:w="5098" w:type="dxa"/>
            <w:noWrap/>
            <w:hideMark/>
          </w:tcPr>
          <w:p w:rsidR="00DF409C" w:rsidRPr="00DF409C" w:rsidRDefault="00DF409C" w:rsidP="00DF409C">
            <w:r w:rsidRPr="00DF409C">
              <w:t>4.1. Pružanje pravnog i drugog savjetovanja udomiteljima</w:t>
            </w:r>
          </w:p>
        </w:tc>
        <w:tc>
          <w:tcPr>
            <w:tcW w:w="786" w:type="dxa"/>
            <w:noWrap/>
            <w:hideMark/>
          </w:tcPr>
          <w:p w:rsidR="00DF409C" w:rsidRPr="00DF409C" w:rsidRDefault="00DF409C" w:rsidP="00DF409C">
            <w:r w:rsidRPr="00DF409C">
              <w:t>kontinuirano</w:t>
            </w:r>
          </w:p>
        </w:tc>
        <w:tc>
          <w:tcPr>
            <w:tcW w:w="2218" w:type="dxa"/>
            <w:noWrap/>
            <w:hideMark/>
          </w:tcPr>
          <w:p w:rsidR="00DF409C" w:rsidRPr="00DF409C" w:rsidRDefault="00DF409C" w:rsidP="00DF409C">
            <w:r w:rsidRPr="00DF409C">
              <w:t>Organizacijski resursi</w:t>
            </w:r>
          </w:p>
        </w:tc>
        <w:tc>
          <w:tcPr>
            <w:tcW w:w="3010" w:type="dxa"/>
            <w:hideMark/>
          </w:tcPr>
          <w:p w:rsidR="00DF409C" w:rsidRPr="00DF409C" w:rsidRDefault="00DF409C" w:rsidP="00DF409C">
            <w:r w:rsidRPr="00DF409C">
              <w:t>Osnaženi udomitelji u njihovim pravima kao i pravima udomljene djece kao u razmjeni iskustava među udomiteljima</w:t>
            </w:r>
          </w:p>
        </w:tc>
      </w:tr>
      <w:tr w:rsidR="00DF409C" w:rsidRPr="00DF409C" w:rsidTr="00DF409C">
        <w:trPr>
          <w:trHeight w:val="660"/>
        </w:trPr>
        <w:tc>
          <w:tcPr>
            <w:tcW w:w="11115" w:type="dxa"/>
            <w:gridSpan w:val="4"/>
            <w:shd w:val="clear" w:color="auto" w:fill="FFD966" w:themeFill="accent4" w:themeFillTint="99"/>
            <w:noWrap/>
            <w:hideMark/>
          </w:tcPr>
          <w:p w:rsidR="00DF409C" w:rsidRPr="00DF409C" w:rsidRDefault="00DF409C">
            <w:pPr>
              <w:rPr>
                <w:b/>
                <w:bCs/>
              </w:rPr>
            </w:pPr>
            <w:r w:rsidRPr="00DF409C">
              <w:rPr>
                <w:b/>
                <w:bCs/>
              </w:rPr>
              <w:lastRenderedPageBreak/>
              <w:t>5. EDUKACIJA I JAČANJE UGLEDA UDRUGE</w:t>
            </w:r>
          </w:p>
        </w:tc>
      </w:tr>
      <w:tr w:rsidR="00DF409C" w:rsidRPr="00DF409C" w:rsidTr="00DF409C">
        <w:trPr>
          <w:trHeight w:val="1080"/>
        </w:trPr>
        <w:tc>
          <w:tcPr>
            <w:tcW w:w="5098" w:type="dxa"/>
            <w:hideMark/>
          </w:tcPr>
          <w:p w:rsidR="00DF409C" w:rsidRPr="00DF409C" w:rsidRDefault="00DF409C" w:rsidP="00DF409C">
            <w:r w:rsidRPr="00DF409C">
              <w:t>5.1. Sudjelovanje na raznim edukacijskim seminarima, radionicama, tribinama, sajmovima mogućnosti i okruglim stolovima u organizaciji tijela javnih vlasti – nevladinih organizacija</w:t>
            </w:r>
          </w:p>
        </w:tc>
        <w:tc>
          <w:tcPr>
            <w:tcW w:w="786" w:type="dxa"/>
            <w:noWrap/>
            <w:hideMark/>
          </w:tcPr>
          <w:p w:rsidR="00DF409C" w:rsidRPr="00DF409C" w:rsidRDefault="00DF409C" w:rsidP="00DF409C">
            <w:r w:rsidRPr="00DF409C">
              <w:t>kontinuirano</w:t>
            </w:r>
          </w:p>
        </w:tc>
        <w:tc>
          <w:tcPr>
            <w:tcW w:w="2218" w:type="dxa"/>
            <w:noWrap/>
            <w:hideMark/>
          </w:tcPr>
          <w:p w:rsidR="00DF409C" w:rsidRPr="00DF409C" w:rsidRDefault="00DF409C" w:rsidP="00DF409C">
            <w:r w:rsidRPr="00DF409C">
              <w:t>Organizacijski resursi</w:t>
            </w:r>
          </w:p>
        </w:tc>
        <w:tc>
          <w:tcPr>
            <w:tcW w:w="3010" w:type="dxa"/>
            <w:hideMark/>
          </w:tcPr>
          <w:p w:rsidR="00DF409C" w:rsidRPr="00DF409C" w:rsidRDefault="00DF409C" w:rsidP="00DF409C">
            <w:r w:rsidRPr="00DF409C">
              <w:t>Jačanje operativnih kapaciteta Udruge; razvoj znanja i vještina</w:t>
            </w:r>
          </w:p>
        </w:tc>
      </w:tr>
      <w:tr w:rsidR="00DF409C" w:rsidRPr="00DF409C" w:rsidTr="00DF409C">
        <w:trPr>
          <w:trHeight w:val="795"/>
        </w:trPr>
        <w:tc>
          <w:tcPr>
            <w:tcW w:w="5098" w:type="dxa"/>
            <w:hideMark/>
          </w:tcPr>
          <w:p w:rsidR="00DF409C" w:rsidRPr="00DF409C" w:rsidRDefault="00DF409C">
            <w:r w:rsidRPr="00DF409C">
              <w:t>5.2. Čuvanje i podizanje ugleda Udruge u javnosti i među njenim članovima/</w:t>
            </w:r>
            <w:proofErr w:type="spellStart"/>
            <w:r w:rsidRPr="00DF409C">
              <w:t>icama</w:t>
            </w:r>
            <w:proofErr w:type="spellEnd"/>
            <w:r w:rsidRPr="00DF409C">
              <w:t xml:space="preserve"> među njenim članovima/</w:t>
            </w:r>
            <w:proofErr w:type="spellStart"/>
            <w:r w:rsidRPr="00DF409C">
              <w:t>icama</w:t>
            </w:r>
            <w:proofErr w:type="spellEnd"/>
          </w:p>
        </w:tc>
        <w:tc>
          <w:tcPr>
            <w:tcW w:w="786" w:type="dxa"/>
            <w:noWrap/>
            <w:hideMark/>
          </w:tcPr>
          <w:p w:rsidR="00DF409C" w:rsidRPr="00DF409C" w:rsidRDefault="00DF409C" w:rsidP="00DF409C">
            <w:r w:rsidRPr="00DF409C">
              <w:t>kontinuirano</w:t>
            </w:r>
          </w:p>
        </w:tc>
        <w:tc>
          <w:tcPr>
            <w:tcW w:w="2218" w:type="dxa"/>
            <w:noWrap/>
            <w:hideMark/>
          </w:tcPr>
          <w:p w:rsidR="00DF409C" w:rsidRPr="00DF409C" w:rsidRDefault="00DF409C" w:rsidP="00DF409C">
            <w:r w:rsidRPr="00DF409C">
              <w:t>Organizacijski resursi</w:t>
            </w:r>
          </w:p>
        </w:tc>
        <w:tc>
          <w:tcPr>
            <w:tcW w:w="3010" w:type="dxa"/>
            <w:hideMark/>
          </w:tcPr>
          <w:p w:rsidR="00DF409C" w:rsidRPr="00DF409C" w:rsidRDefault="00DF409C" w:rsidP="00DF409C">
            <w:proofErr w:type="spellStart"/>
            <w:r w:rsidRPr="00DF409C">
              <w:t>PrepoznatljivosUdruge</w:t>
            </w:r>
            <w:proofErr w:type="spellEnd"/>
            <w:r w:rsidRPr="00DF409C">
              <w:t xml:space="preserve"> u lokalnoj, široj zajednici i međunarodnoj zajednici</w:t>
            </w:r>
          </w:p>
        </w:tc>
      </w:tr>
      <w:tr w:rsidR="00DF409C" w:rsidRPr="00DF409C" w:rsidTr="00DF409C">
        <w:trPr>
          <w:trHeight w:val="495"/>
        </w:trPr>
        <w:tc>
          <w:tcPr>
            <w:tcW w:w="11115" w:type="dxa"/>
            <w:gridSpan w:val="4"/>
            <w:shd w:val="clear" w:color="auto" w:fill="FFD966" w:themeFill="accent4" w:themeFillTint="99"/>
            <w:noWrap/>
            <w:hideMark/>
          </w:tcPr>
          <w:p w:rsidR="00DF409C" w:rsidRPr="00DF409C" w:rsidRDefault="00DF409C">
            <w:pPr>
              <w:rPr>
                <w:b/>
                <w:bCs/>
              </w:rPr>
            </w:pPr>
            <w:r w:rsidRPr="00DF409C">
              <w:rPr>
                <w:b/>
                <w:bCs/>
              </w:rPr>
              <w:t>6</w:t>
            </w:r>
            <w:r w:rsidRPr="00DF409C">
              <w:rPr>
                <w:b/>
                <w:bCs/>
                <w:shd w:val="clear" w:color="auto" w:fill="FFD966" w:themeFill="accent4" w:themeFillTint="99"/>
              </w:rPr>
              <w:t>. MEDIJSKA SURADNJA</w:t>
            </w:r>
          </w:p>
        </w:tc>
      </w:tr>
      <w:tr w:rsidR="00DF409C" w:rsidRPr="00DF409C" w:rsidTr="00DF409C">
        <w:trPr>
          <w:trHeight w:val="915"/>
        </w:trPr>
        <w:tc>
          <w:tcPr>
            <w:tcW w:w="5098" w:type="dxa"/>
            <w:hideMark/>
          </w:tcPr>
          <w:p w:rsidR="00DF409C" w:rsidRPr="00DF409C" w:rsidRDefault="00DF409C">
            <w:r w:rsidRPr="00DF409C">
              <w:t>6.11.Suradnja s medijima u aktivnostima Udruge</w:t>
            </w:r>
          </w:p>
        </w:tc>
        <w:tc>
          <w:tcPr>
            <w:tcW w:w="786" w:type="dxa"/>
            <w:noWrap/>
            <w:hideMark/>
          </w:tcPr>
          <w:p w:rsidR="00DF409C" w:rsidRPr="00DF409C" w:rsidRDefault="00DF409C" w:rsidP="00DF409C">
            <w:r w:rsidRPr="00DF409C">
              <w:t>kontinuirano</w:t>
            </w:r>
          </w:p>
        </w:tc>
        <w:tc>
          <w:tcPr>
            <w:tcW w:w="2218" w:type="dxa"/>
            <w:noWrap/>
            <w:hideMark/>
          </w:tcPr>
          <w:p w:rsidR="00DF409C" w:rsidRPr="00DF409C" w:rsidRDefault="00DF409C" w:rsidP="00DF409C">
            <w:r w:rsidRPr="00DF409C">
              <w:t>Organizacijski resursi</w:t>
            </w:r>
          </w:p>
        </w:tc>
        <w:tc>
          <w:tcPr>
            <w:tcW w:w="3010" w:type="dxa"/>
            <w:hideMark/>
          </w:tcPr>
          <w:p w:rsidR="00DF409C" w:rsidRPr="00DF409C" w:rsidRDefault="00DF409C" w:rsidP="00DF409C">
            <w:r w:rsidRPr="00DF409C">
              <w:t>Povećanje vidljivosti Udruge; Informiranje građanstva; senzibiliziranje javnosti o potrebama udomiteljstva</w:t>
            </w:r>
          </w:p>
        </w:tc>
        <w:bookmarkStart w:id="0" w:name="_GoBack"/>
        <w:bookmarkEnd w:id="0"/>
      </w:tr>
      <w:tr w:rsidR="00DF409C" w:rsidRPr="00DF409C" w:rsidTr="00DF409C">
        <w:trPr>
          <w:trHeight w:val="660"/>
        </w:trPr>
        <w:tc>
          <w:tcPr>
            <w:tcW w:w="5098" w:type="dxa"/>
            <w:hideMark/>
          </w:tcPr>
          <w:p w:rsidR="00DF409C" w:rsidRPr="00DF409C" w:rsidRDefault="00DF409C">
            <w:r w:rsidRPr="00DF409C">
              <w:t>6.2. Obilježavanje značajnih datuma</w:t>
            </w:r>
          </w:p>
        </w:tc>
        <w:tc>
          <w:tcPr>
            <w:tcW w:w="786" w:type="dxa"/>
            <w:noWrap/>
            <w:hideMark/>
          </w:tcPr>
          <w:p w:rsidR="00DF409C" w:rsidRPr="00DF409C" w:rsidRDefault="00DF409C" w:rsidP="00DF409C">
            <w:r w:rsidRPr="00DF409C">
              <w:t>kontinuirano</w:t>
            </w:r>
          </w:p>
        </w:tc>
        <w:tc>
          <w:tcPr>
            <w:tcW w:w="2218" w:type="dxa"/>
            <w:noWrap/>
            <w:hideMark/>
          </w:tcPr>
          <w:p w:rsidR="00DF409C" w:rsidRPr="00DF409C" w:rsidRDefault="00DF409C" w:rsidP="00DF409C">
            <w:r w:rsidRPr="00DF409C">
              <w:t>Organizacijski resursi</w:t>
            </w:r>
          </w:p>
        </w:tc>
        <w:tc>
          <w:tcPr>
            <w:tcW w:w="3010" w:type="dxa"/>
            <w:hideMark/>
          </w:tcPr>
          <w:p w:rsidR="00DF409C" w:rsidRPr="00DF409C" w:rsidRDefault="00DF409C" w:rsidP="00DF409C">
            <w:r w:rsidRPr="00DF409C">
              <w:t>Informiranje i senzibiliziranje javnosti o značajnim problemima</w:t>
            </w:r>
          </w:p>
        </w:tc>
      </w:tr>
      <w:tr w:rsidR="00DF409C" w:rsidRPr="00DF409C" w:rsidTr="00DF409C">
        <w:trPr>
          <w:trHeight w:val="615"/>
        </w:trPr>
        <w:tc>
          <w:tcPr>
            <w:tcW w:w="5098" w:type="dxa"/>
            <w:hideMark/>
          </w:tcPr>
          <w:p w:rsidR="00DF409C" w:rsidRPr="00DF409C" w:rsidRDefault="00DF409C">
            <w:r w:rsidRPr="00DF409C">
              <w:t>6.3.Redovito ažuriranje web i Facebook stranice Udruge</w:t>
            </w:r>
          </w:p>
        </w:tc>
        <w:tc>
          <w:tcPr>
            <w:tcW w:w="786" w:type="dxa"/>
            <w:noWrap/>
            <w:hideMark/>
          </w:tcPr>
          <w:p w:rsidR="00DF409C" w:rsidRPr="00DF409C" w:rsidRDefault="00DF409C" w:rsidP="00DF409C">
            <w:r w:rsidRPr="00DF409C">
              <w:t>kontinuirano</w:t>
            </w:r>
          </w:p>
        </w:tc>
        <w:tc>
          <w:tcPr>
            <w:tcW w:w="2218" w:type="dxa"/>
            <w:noWrap/>
            <w:hideMark/>
          </w:tcPr>
          <w:p w:rsidR="00DF409C" w:rsidRPr="00DF409C" w:rsidRDefault="00DF409C" w:rsidP="00DF409C">
            <w:r w:rsidRPr="00DF409C">
              <w:t>Organizacijski resursi</w:t>
            </w:r>
          </w:p>
        </w:tc>
        <w:tc>
          <w:tcPr>
            <w:tcW w:w="3010" w:type="dxa"/>
            <w:hideMark/>
          </w:tcPr>
          <w:p w:rsidR="00DF409C" w:rsidRPr="00DF409C" w:rsidRDefault="00DF409C" w:rsidP="00DF409C">
            <w:r w:rsidRPr="00DF409C">
              <w:t>Informiranje šire javnosti o radu Udruge</w:t>
            </w:r>
          </w:p>
        </w:tc>
      </w:tr>
    </w:tbl>
    <w:p w:rsidR="00FD047D" w:rsidRDefault="00FD047D"/>
    <w:sectPr w:rsidR="00FD047D" w:rsidSect="00DF409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09C"/>
    <w:rsid w:val="00DF409C"/>
    <w:rsid w:val="00FD0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787CE8-2177-4FB1-A655-3921030F6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F40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1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MUP RH</Company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Dakić Anita</dc:creator>
  <cp:keywords/>
  <dc:description/>
  <cp:lastModifiedBy>Dakić Anita</cp:lastModifiedBy>
  <cp:revision>1</cp:revision>
  <dcterms:created xsi:type="dcterms:W3CDTF">2023-12-21T11:28:00Z</dcterms:created>
  <dcterms:modified xsi:type="dcterms:W3CDTF">2023-12-21T11:32:00Z</dcterms:modified>
</cp:coreProperties>
</file>